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3A" w:rsidRPr="000B03EA" w:rsidRDefault="000B03EA">
      <w:pPr>
        <w:rPr>
          <w:rFonts w:ascii="Times New Roman" w:hAnsi="Times New Roman" w:cs="Times New Roman"/>
          <w:b/>
          <w:sz w:val="28"/>
          <w:szCs w:val="28"/>
        </w:rPr>
      </w:pPr>
      <w:r w:rsidRPr="000B03EA">
        <w:rPr>
          <w:rFonts w:ascii="Times New Roman" w:hAnsi="Times New Roman" w:cs="Times New Roman"/>
          <w:b/>
          <w:sz w:val="28"/>
          <w:szCs w:val="28"/>
        </w:rPr>
        <w:t>PDHPE</w:t>
      </w:r>
    </w:p>
    <w:p w:rsidR="000B03EA" w:rsidRPr="000B03EA" w:rsidRDefault="000B03EA">
      <w:pPr>
        <w:rPr>
          <w:rFonts w:ascii="Times New Roman" w:hAnsi="Times New Roman" w:cs="Times New Roman"/>
          <w:b/>
          <w:u w:val="single"/>
        </w:rPr>
      </w:pPr>
      <w:r w:rsidRPr="000B03EA">
        <w:rPr>
          <w:rFonts w:ascii="Times New Roman" w:hAnsi="Times New Roman" w:cs="Times New Roman"/>
          <w:b/>
          <w:u w:val="single"/>
        </w:rPr>
        <w:t>HSC Core 1 – Health Priorities in Australia</w:t>
      </w:r>
    </w:p>
    <w:p w:rsidR="000B03EA" w:rsidRPr="000B03EA" w:rsidRDefault="000B03E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What role do health care facilities and services play in achieving better health for all Australians?</w:t>
      </w:r>
    </w:p>
    <w:p w:rsidR="000B03EA" w:rsidRDefault="000B03EA">
      <w:pPr>
        <w:rPr>
          <w:rFonts w:ascii="Times New Roman" w:hAnsi="Times New Roman" w:cs="Times New Roman"/>
          <w:b/>
          <w:i/>
        </w:rPr>
      </w:pPr>
      <w:r w:rsidRPr="000B03EA">
        <w:rPr>
          <w:rFonts w:ascii="Times New Roman" w:hAnsi="Times New Roman" w:cs="Times New Roman"/>
          <w:b/>
          <w:i/>
        </w:rPr>
        <w:t>Overview of health care in Australia</w:t>
      </w:r>
    </w:p>
    <w:p w:rsidR="000B03EA" w:rsidRDefault="000B03EA" w:rsidP="000B0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03EA">
        <w:rPr>
          <w:rFonts w:ascii="Times New Roman" w:hAnsi="Times New Roman" w:cs="Times New Roman"/>
        </w:rPr>
        <w:t>Attempts to provide health care and health facilities for all Australians regardless of income, culture, age and gender.</w:t>
      </w:r>
    </w:p>
    <w:p w:rsidR="000B03EA" w:rsidRDefault="000B03EA" w:rsidP="000B0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focus on prevention over cure.</w:t>
      </w:r>
    </w:p>
    <w:p w:rsidR="000B03EA" w:rsidRDefault="000B03EA" w:rsidP="000B0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responsibility of all levels of government and the private sector.</w:t>
      </w:r>
    </w:p>
    <w:p w:rsidR="000B03EA" w:rsidRDefault="000B03EA" w:rsidP="000B03EA">
      <w:pPr>
        <w:rPr>
          <w:rFonts w:ascii="Times New Roman" w:hAnsi="Times New Roman" w:cs="Times New Roman"/>
          <w:b/>
          <w:i/>
        </w:rPr>
      </w:pPr>
      <w:r w:rsidRPr="000B03EA">
        <w:rPr>
          <w:rFonts w:ascii="Times New Roman" w:hAnsi="Times New Roman" w:cs="Times New Roman"/>
          <w:b/>
          <w:i/>
        </w:rPr>
        <w:t>Range and types of health facilities and services</w:t>
      </w:r>
    </w:p>
    <w:tbl>
      <w:tblPr>
        <w:tblW w:w="85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2"/>
        <w:gridCol w:w="4273"/>
      </w:tblGrid>
      <w:tr w:rsidR="00595FA1" w:rsidRPr="00595FA1" w:rsidTr="00595FA1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A1" w:rsidRPr="00595FA1" w:rsidRDefault="00595FA1" w:rsidP="00595F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5FA1">
              <w:rPr>
                <w:rFonts w:ascii="Times New Roman" w:hAnsi="Times New Roman" w:cs="Times New Roman"/>
                <w:b/>
                <w:lang w:val="en-US"/>
              </w:rPr>
              <w:t>Institutional health care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A1" w:rsidRPr="00595FA1" w:rsidRDefault="00595FA1" w:rsidP="00595F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5FA1">
              <w:rPr>
                <w:rFonts w:ascii="Times New Roman" w:hAnsi="Times New Roman" w:cs="Times New Roman"/>
                <w:b/>
                <w:lang w:val="en-US"/>
              </w:rPr>
              <w:t>Non-institutional health care</w:t>
            </w:r>
          </w:p>
        </w:tc>
      </w:tr>
      <w:tr w:rsidR="00595FA1" w:rsidRPr="00595FA1" w:rsidTr="00595FA1"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FA1" w:rsidRPr="00595FA1" w:rsidRDefault="00595FA1" w:rsidP="00595FA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95FA1">
              <w:rPr>
                <w:rFonts w:ascii="Times New Roman" w:hAnsi="Times New Roman" w:cs="Times New Roman"/>
                <w:lang w:val="en-US"/>
              </w:rPr>
              <w:t>Public and private acute care (general) hospitals</w:t>
            </w:r>
          </w:p>
          <w:p w:rsidR="00595FA1" w:rsidRPr="00595FA1" w:rsidRDefault="00595FA1" w:rsidP="00595FA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95FA1">
              <w:rPr>
                <w:rFonts w:ascii="Times New Roman" w:hAnsi="Times New Roman" w:cs="Times New Roman"/>
                <w:lang w:val="en-US"/>
              </w:rPr>
              <w:t>Public psychiatric hospitals</w:t>
            </w:r>
          </w:p>
          <w:p w:rsidR="00595FA1" w:rsidRPr="00595FA1" w:rsidRDefault="00595FA1" w:rsidP="00595FA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95FA1">
              <w:rPr>
                <w:rFonts w:ascii="Times New Roman" w:hAnsi="Times New Roman" w:cs="Times New Roman"/>
                <w:lang w:val="en-US"/>
              </w:rPr>
              <w:t>Nursing homes and hostels</w:t>
            </w:r>
          </w:p>
          <w:p w:rsidR="00595FA1" w:rsidRPr="00595FA1" w:rsidRDefault="00595FA1" w:rsidP="00595FA1">
            <w:pPr>
              <w:numPr>
                <w:ilvl w:val="0"/>
                <w:numId w:val="2"/>
              </w:num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95FA1">
              <w:rPr>
                <w:rFonts w:ascii="Times New Roman" w:hAnsi="Times New Roman" w:cs="Times New Roman"/>
                <w:lang w:val="en-US"/>
              </w:rPr>
              <w:t>Ambulance</w:t>
            </w:r>
          </w:p>
        </w:tc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A1" w:rsidRPr="00595FA1" w:rsidRDefault="00595FA1" w:rsidP="00595FA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95FA1">
              <w:rPr>
                <w:rFonts w:ascii="Times New Roman" w:hAnsi="Times New Roman" w:cs="Times New Roman"/>
                <w:lang w:val="en-US"/>
              </w:rPr>
              <w:t>Medical services (GP’s, pathology)</w:t>
            </w:r>
          </w:p>
          <w:p w:rsidR="00595FA1" w:rsidRPr="00595FA1" w:rsidRDefault="00595FA1" w:rsidP="00595FA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95FA1">
              <w:rPr>
                <w:rFonts w:ascii="Times New Roman" w:hAnsi="Times New Roman" w:cs="Times New Roman"/>
                <w:lang w:val="en-US"/>
              </w:rPr>
              <w:t>Dental</w:t>
            </w:r>
          </w:p>
          <w:p w:rsidR="00595FA1" w:rsidRPr="00595FA1" w:rsidRDefault="00595FA1" w:rsidP="00595FA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95FA1">
              <w:rPr>
                <w:rFonts w:ascii="Times New Roman" w:hAnsi="Times New Roman" w:cs="Times New Roman"/>
                <w:lang w:val="en-US"/>
              </w:rPr>
              <w:t>Pharmaceuticals</w:t>
            </w:r>
          </w:p>
          <w:p w:rsidR="00595FA1" w:rsidRPr="00595FA1" w:rsidRDefault="00595FA1" w:rsidP="00595FA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95FA1">
              <w:rPr>
                <w:rFonts w:ascii="Times New Roman" w:hAnsi="Times New Roman" w:cs="Times New Roman"/>
                <w:lang w:val="en-US"/>
              </w:rPr>
              <w:t>Admin and research</w:t>
            </w:r>
          </w:p>
          <w:p w:rsidR="00595FA1" w:rsidRPr="00595FA1" w:rsidRDefault="00595FA1" w:rsidP="00595FA1">
            <w:pPr>
              <w:numPr>
                <w:ilvl w:val="0"/>
                <w:numId w:val="2"/>
              </w:num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95FA1">
              <w:rPr>
                <w:rFonts w:ascii="Times New Roman" w:hAnsi="Times New Roman" w:cs="Times New Roman"/>
                <w:lang w:val="en-US"/>
              </w:rPr>
              <w:t>Other pro services (</w:t>
            </w:r>
            <w:r w:rsidRPr="00595FA1">
              <w:rPr>
                <w:rFonts w:ascii="Times New Roman" w:hAnsi="Times New Roman" w:cs="Times New Roman"/>
              </w:rPr>
              <w:t>physio</w:t>
            </w:r>
            <w:r w:rsidRPr="00595FA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95FA1">
              <w:rPr>
                <w:rFonts w:ascii="Times New Roman" w:hAnsi="Times New Roman" w:cs="Times New Roman"/>
                <w:lang w:val="en-US"/>
              </w:rPr>
              <w:t>etc</w:t>
            </w:r>
            <w:proofErr w:type="spellEnd"/>
            <w:r w:rsidRPr="00595FA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595FA1" w:rsidRDefault="00595FA1" w:rsidP="000B03EA">
      <w:pPr>
        <w:rPr>
          <w:rFonts w:ascii="Times New Roman" w:hAnsi="Times New Roman" w:cs="Times New Roman"/>
        </w:rPr>
      </w:pPr>
    </w:p>
    <w:p w:rsidR="000B03EA" w:rsidRDefault="000B03EA" w:rsidP="000B03EA">
      <w:pPr>
        <w:rPr>
          <w:rFonts w:ascii="Times New Roman" w:hAnsi="Times New Roman" w:cs="Times New Roman"/>
        </w:rPr>
      </w:pPr>
      <w:r w:rsidRPr="007F4C62">
        <w:rPr>
          <w:rFonts w:ascii="Times New Roman" w:hAnsi="Times New Roman" w:cs="Times New Roman"/>
          <w:b/>
          <w:u w:val="single"/>
        </w:rPr>
        <w:t>Activity 1</w:t>
      </w:r>
      <w:r>
        <w:rPr>
          <w:rFonts w:ascii="Times New Roman" w:hAnsi="Times New Roman" w:cs="Times New Roman"/>
        </w:rPr>
        <w:t xml:space="preserve"> – Place the following health facilities and service u</w:t>
      </w:r>
      <w:r w:rsidR="00595FA1">
        <w:rPr>
          <w:rFonts w:ascii="Times New Roman" w:hAnsi="Times New Roman" w:cs="Times New Roman"/>
        </w:rPr>
        <w:t>nder their appropriate category:</w:t>
      </w:r>
      <w:bookmarkStart w:id="0" w:name="_GoBack"/>
      <w:bookmarkEnd w:id="0"/>
    </w:p>
    <w:p w:rsidR="000B03EA" w:rsidRDefault="000B03EA" w:rsidP="000B0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Specialised mental health, Admitted patient care, Allied health, Immunisation, Cancer screening, Primary health care for Aboriginal and Torres Strait Islander peoples, Outpatient care and other non-admitted care, Alcohol and other drug treatment, National Diabetes Service Scheme, Emergency Department</w:t>
      </w:r>
      <w:r w:rsidR="007F4C62">
        <w:rPr>
          <w:rFonts w:ascii="Times New Roman" w:hAnsi="Times New Roman" w:cs="Times New Roman"/>
        </w:rPr>
        <w:t>, Dental, Specialised medical practitioner, Complementary and alternative health, Hearing, Community health, Health services in the Australian Defence Force, Ambulance and Royal Flying Doctor Service, Sexual and reproductive health, Palliative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F4C62" w:rsidTr="007F4C62">
        <w:tc>
          <w:tcPr>
            <w:tcW w:w="2310" w:type="dxa"/>
            <w:vAlign w:val="center"/>
          </w:tcPr>
          <w:p w:rsidR="007F4C62" w:rsidRPr="007F4C62" w:rsidRDefault="007F4C62" w:rsidP="007F4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C62">
              <w:rPr>
                <w:rFonts w:ascii="Times New Roman" w:hAnsi="Times New Roman" w:cs="Times New Roman"/>
                <w:b/>
              </w:rPr>
              <w:t>Public health services</w:t>
            </w:r>
          </w:p>
        </w:tc>
        <w:tc>
          <w:tcPr>
            <w:tcW w:w="2310" w:type="dxa"/>
            <w:vAlign w:val="center"/>
          </w:tcPr>
          <w:p w:rsidR="007F4C62" w:rsidRPr="007F4C62" w:rsidRDefault="007F4C62" w:rsidP="007F4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C62">
              <w:rPr>
                <w:rFonts w:ascii="Times New Roman" w:hAnsi="Times New Roman" w:cs="Times New Roman"/>
                <w:b/>
              </w:rPr>
              <w:t>Primary care and community health care services</w:t>
            </w:r>
          </w:p>
        </w:tc>
        <w:tc>
          <w:tcPr>
            <w:tcW w:w="2311" w:type="dxa"/>
            <w:vAlign w:val="center"/>
          </w:tcPr>
          <w:p w:rsidR="007F4C62" w:rsidRPr="007F4C62" w:rsidRDefault="007F4C62" w:rsidP="007F4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C62">
              <w:rPr>
                <w:rFonts w:ascii="Times New Roman" w:hAnsi="Times New Roman" w:cs="Times New Roman"/>
                <w:b/>
              </w:rPr>
              <w:t>Hospitals</w:t>
            </w:r>
          </w:p>
        </w:tc>
        <w:tc>
          <w:tcPr>
            <w:tcW w:w="2311" w:type="dxa"/>
            <w:vAlign w:val="center"/>
          </w:tcPr>
          <w:p w:rsidR="007F4C62" w:rsidRPr="007F4C62" w:rsidRDefault="007F4C62" w:rsidP="007F4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C62">
              <w:rPr>
                <w:rFonts w:ascii="Times New Roman" w:hAnsi="Times New Roman" w:cs="Times New Roman"/>
                <w:b/>
              </w:rPr>
              <w:t>Specialised health services</w:t>
            </w:r>
          </w:p>
        </w:tc>
      </w:tr>
      <w:tr w:rsidR="007F4C62" w:rsidTr="007F4C62">
        <w:tc>
          <w:tcPr>
            <w:tcW w:w="2310" w:type="dxa"/>
          </w:tcPr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7F4C62" w:rsidRDefault="007F4C62" w:rsidP="000B03EA">
            <w:pPr>
              <w:rPr>
                <w:rFonts w:ascii="Times New Roman" w:hAnsi="Times New Roman" w:cs="Times New Roman"/>
              </w:rPr>
            </w:pPr>
          </w:p>
        </w:tc>
      </w:tr>
    </w:tbl>
    <w:p w:rsidR="007F4C62" w:rsidRPr="000B03EA" w:rsidRDefault="007F4C62" w:rsidP="000B03EA">
      <w:pPr>
        <w:rPr>
          <w:rFonts w:ascii="Times New Roman" w:hAnsi="Times New Roman" w:cs="Times New Roman"/>
        </w:rPr>
      </w:pPr>
    </w:p>
    <w:sectPr w:rsidR="007F4C62" w:rsidRPr="000B03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62" w:rsidRDefault="007F4C62" w:rsidP="007F4C62">
      <w:pPr>
        <w:spacing w:after="0" w:line="240" w:lineRule="auto"/>
      </w:pPr>
      <w:r>
        <w:separator/>
      </w:r>
    </w:p>
  </w:endnote>
  <w:endnote w:type="continuationSeparator" w:id="0">
    <w:p w:rsidR="007F4C62" w:rsidRDefault="007F4C62" w:rsidP="007F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62" w:rsidRDefault="007F4C62" w:rsidP="007F4C62">
      <w:pPr>
        <w:spacing w:after="0" w:line="240" w:lineRule="auto"/>
      </w:pPr>
      <w:r>
        <w:separator/>
      </w:r>
    </w:p>
  </w:footnote>
  <w:footnote w:type="continuationSeparator" w:id="0">
    <w:p w:rsidR="007F4C62" w:rsidRDefault="007F4C62" w:rsidP="007F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62" w:rsidRPr="007F4C62" w:rsidRDefault="007F4C62" w:rsidP="007F4C62">
    <w:pPr>
      <w:pStyle w:val="Header"/>
      <w:jc w:val="right"/>
      <w:rPr>
        <w:rFonts w:ascii="Times New Roman" w:hAnsi="Times New Roman" w:cs="Times New Roman"/>
      </w:rPr>
    </w:pPr>
    <w:r w:rsidRPr="007F4C62">
      <w:rPr>
        <w:rFonts w:ascii="Times New Roman" w:hAnsi="Times New Roman" w:cs="Times New Roman"/>
      </w:rPr>
      <w:t>Wednesday 28</w:t>
    </w:r>
    <w:r w:rsidRPr="007F4C62">
      <w:rPr>
        <w:rFonts w:ascii="Times New Roman" w:hAnsi="Times New Roman" w:cs="Times New Roman"/>
        <w:vertAlign w:val="superscript"/>
      </w:rPr>
      <w:t>th</w:t>
    </w:r>
    <w:r w:rsidRPr="007F4C62">
      <w:rPr>
        <w:rFonts w:ascii="Times New Roman" w:hAnsi="Times New Roman" w:cs="Times New Roman"/>
      </w:rPr>
      <w:t xml:space="preserve"> January 2015 – Term 1, Week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5pt;height:9.5pt" o:bullet="t">
        <v:imagedata r:id="rId1" o:title="BD21298_"/>
      </v:shape>
    </w:pict>
  </w:numPicBullet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41041F1"/>
    <w:multiLevelType w:val="hybridMultilevel"/>
    <w:tmpl w:val="F9222CD8"/>
    <w:lvl w:ilvl="0" w:tplc="791EF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A"/>
    <w:rsid w:val="000B03EA"/>
    <w:rsid w:val="00595FA1"/>
    <w:rsid w:val="007F4C62"/>
    <w:rsid w:val="00E5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EA"/>
    <w:pPr>
      <w:ind w:left="720"/>
      <w:contextualSpacing/>
    </w:pPr>
  </w:style>
  <w:style w:type="table" w:styleId="TableGrid">
    <w:name w:val="Table Grid"/>
    <w:basedOn w:val="TableNormal"/>
    <w:uiPriority w:val="59"/>
    <w:rsid w:val="007F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62"/>
  </w:style>
  <w:style w:type="paragraph" w:styleId="Footer">
    <w:name w:val="footer"/>
    <w:basedOn w:val="Normal"/>
    <w:link w:val="FooterChar"/>
    <w:uiPriority w:val="99"/>
    <w:unhideWhenUsed/>
    <w:rsid w:val="007F4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EA"/>
    <w:pPr>
      <w:ind w:left="720"/>
      <w:contextualSpacing/>
    </w:pPr>
  </w:style>
  <w:style w:type="table" w:styleId="TableGrid">
    <w:name w:val="Table Grid"/>
    <w:basedOn w:val="TableNormal"/>
    <w:uiPriority w:val="59"/>
    <w:rsid w:val="007F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62"/>
  </w:style>
  <w:style w:type="paragraph" w:styleId="Footer">
    <w:name w:val="footer"/>
    <w:basedOn w:val="Normal"/>
    <w:link w:val="FooterChar"/>
    <w:uiPriority w:val="99"/>
    <w:unhideWhenUsed/>
    <w:rsid w:val="007F4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2015-01-26T05:37:00Z</dcterms:created>
  <dcterms:modified xsi:type="dcterms:W3CDTF">2015-01-26T06:52:00Z</dcterms:modified>
</cp:coreProperties>
</file>